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F43" w:rsidRDefault="00E45F43" w:rsidP="00E45F43">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431302BC" wp14:editId="4B5CC29C">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5A4C131F" wp14:editId="33865F9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740BEC" w:rsidRPr="00AB6D72" w:rsidRDefault="00740BEC" w:rsidP="00740BEC">
      <w:pPr>
        <w:spacing w:after="0" w:line="240" w:lineRule="auto"/>
        <w:jc w:val="center"/>
        <w:rPr>
          <w:rFonts w:ascii="Times New Roman" w:eastAsia="Times New Roman" w:hAnsi="Times New Roman" w:cs="Times New Roman"/>
          <w:b/>
          <w:sz w:val="24"/>
          <w:szCs w:val="24"/>
          <w:lang w:eastAsia="ru-RU"/>
        </w:rPr>
      </w:pPr>
      <w:bookmarkStart w:id="1" w:name="_GoBack"/>
      <w:r w:rsidRPr="00AB6D72">
        <w:rPr>
          <w:rFonts w:ascii="Times New Roman" w:eastAsia="Times New Roman" w:hAnsi="Times New Roman" w:cs="Times New Roman"/>
          <w:b/>
          <w:sz w:val="24"/>
          <w:szCs w:val="24"/>
          <w:lang w:eastAsia="ru-RU"/>
        </w:rPr>
        <w:t>Хто є платниками земельного податку за земельні ділянки, які приватизовані громадянами – членами садівницького товариства: громадяни, які їх приватизували чи садівницьке товариство?</w:t>
      </w:r>
    </w:p>
    <w:p w:rsidR="00740BEC" w:rsidRPr="00AB6D72" w:rsidRDefault="00740BEC" w:rsidP="00740BEC">
      <w:pPr>
        <w:spacing w:after="0" w:line="240" w:lineRule="auto"/>
        <w:jc w:val="center"/>
        <w:rPr>
          <w:rFonts w:ascii="Times New Roman" w:eastAsia="Times New Roman" w:hAnsi="Times New Roman" w:cs="Times New Roman"/>
          <w:b/>
          <w:sz w:val="24"/>
          <w:szCs w:val="24"/>
          <w:lang w:eastAsia="ru-RU"/>
        </w:rPr>
      </w:pP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Згідно з частиною першою ст. 35 Земельного кодексу України від 25 жовтня 2001 року № 2768-ІІІ зі змінами та доповненнями (далі – ЗКУ) громадяни України із земель державної і комунальної власності мають право набувати безоплатно у власність або на умовах оренди земельні ділянки для ведення індивідуального або колективного садівництва. Приватизація земельної ділянки громадянином – членом садівницького товариства здійснюється без згоди на те інших членів цього товариства (частина п’ята ст. 35 ЗКУ).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Частиною четвертою ст. 35 ЗКУ визначено, що до земель загального користування садівницького товариства належать земельні ділянки, зайняті захисними смугами, дорогами, проїздами, будівлями і спорудами загального користування. Землі загального користування садівницького товариства безоплатно передаються йому у власність за клопотанням вищого органу управління товариства до відповідного органу виконавчої влади чи органу місцевого самоврядування на підставі документації із землеустрою, за якою здійснювалося формування земельних ділянок або технічної документації із землеустрою щодо встановлення (відновлення) меж земельної ділянки в натурі (на місцевості).</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Використання земельних ділянок садівницьких товариств здійснюється відповідно до закону та статутів цих товариств (частина шоста ст. 35 ЗКУ).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Громадяни та юридичні особи набувають права власності та права користування земельними ділянками із земель державної або комунальної власності за рішенням органів виконавчої влади або органів місцевого самоврядування в межах їх повноважень, визначених ЗКУ, або за результатами аукціону (частина перша ст. 116 ЗКУ).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Передача земельних ділянок безоплатно у власність громадян у межах норм, визначених ЗКУ, провадиться один раз по кожному виду цільового призначення (частина четверта ст. 116 ЗКУ).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Зокрема, громадяни України мають право на безоплатну передачу їм земельних ділянок із земель державної або комунальної власності для ведення садівництва – не більше 0,12 гектара (</w:t>
      </w:r>
      <w:proofErr w:type="spellStart"/>
      <w:r w:rsidRPr="00AB6D72">
        <w:rPr>
          <w:rFonts w:ascii="Times New Roman" w:eastAsia="Times New Roman" w:hAnsi="Times New Roman" w:cs="Times New Roman"/>
          <w:sz w:val="24"/>
          <w:szCs w:val="24"/>
          <w:lang w:eastAsia="ru-RU"/>
        </w:rPr>
        <w:t>п.п</w:t>
      </w:r>
      <w:proofErr w:type="spellEnd"/>
      <w:r w:rsidRPr="00AB6D72">
        <w:rPr>
          <w:rFonts w:ascii="Times New Roman" w:eastAsia="Times New Roman" w:hAnsi="Times New Roman" w:cs="Times New Roman"/>
          <w:sz w:val="24"/>
          <w:szCs w:val="24"/>
          <w:lang w:eastAsia="ru-RU"/>
        </w:rPr>
        <w:t>. «в» частини першої ст. 121 ЗКУ). Право власності на земельну ділянку, а також право постійного користування та право оренди земельної ділянки виникають з моменту державної реєстрації цих прав (ст. 125 ЗКУ). При цьому право власності, користування земельною ділянкою оформлюється відповідно до Закону України від 01 липня 2004 року    № 1952-IV «Про державну реєстрацію речових прав на нерухоме майно та їх обтяжень» зі змінами та доповненнями (ст. 126 ЗКУ). Використання землі в Україні є платним (ст. 206 ЗКУ).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Підпунктом 269.1.1 п. 269.1 ст. 269 Податкового кодексу України від 02 грудня 2010 року № 2755-VІ зі змінами та доповненнями (далі – ПКУ) встановлено, що платниками плати за землю є, зокрема, платники земельного податку: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власники земельних ділянок, земельних часток (паїв);</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землекористувачі, яким відповідно до закону надані у користування земельні ділянки державної та комунальної власності на правах постійного користування.</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 xml:space="preserve">Об’єктами оподаткування платою за землю є, зокрема, об’єкти оподаткування земельним </w:t>
      </w:r>
      <w:proofErr w:type="spellStart"/>
      <w:r w:rsidRPr="00AB6D72">
        <w:rPr>
          <w:rFonts w:ascii="Times New Roman" w:eastAsia="Times New Roman" w:hAnsi="Times New Roman" w:cs="Times New Roman"/>
          <w:sz w:val="24"/>
          <w:szCs w:val="24"/>
          <w:lang w:eastAsia="ru-RU"/>
        </w:rPr>
        <w:t>податком:земельні</w:t>
      </w:r>
      <w:proofErr w:type="spellEnd"/>
      <w:r w:rsidRPr="00AB6D72">
        <w:rPr>
          <w:rFonts w:ascii="Times New Roman" w:eastAsia="Times New Roman" w:hAnsi="Times New Roman" w:cs="Times New Roman"/>
          <w:sz w:val="24"/>
          <w:szCs w:val="24"/>
          <w:lang w:eastAsia="ru-RU"/>
        </w:rPr>
        <w:t xml:space="preserve"> ділянки, які перебувають у власності (</w:t>
      </w:r>
      <w:proofErr w:type="spellStart"/>
      <w:r w:rsidRPr="00AB6D72">
        <w:rPr>
          <w:rFonts w:ascii="Times New Roman" w:eastAsia="Times New Roman" w:hAnsi="Times New Roman" w:cs="Times New Roman"/>
          <w:sz w:val="24"/>
          <w:szCs w:val="24"/>
          <w:lang w:eastAsia="ru-RU"/>
        </w:rPr>
        <w:t>п.п</w:t>
      </w:r>
      <w:proofErr w:type="spellEnd"/>
      <w:r w:rsidRPr="00AB6D72">
        <w:rPr>
          <w:rFonts w:ascii="Times New Roman" w:eastAsia="Times New Roman" w:hAnsi="Times New Roman" w:cs="Times New Roman"/>
          <w:sz w:val="24"/>
          <w:szCs w:val="24"/>
          <w:lang w:eastAsia="ru-RU"/>
        </w:rPr>
        <w:t xml:space="preserve">. 270.1.1.1 </w:t>
      </w:r>
      <w:proofErr w:type="spellStart"/>
      <w:r w:rsidRPr="00AB6D72">
        <w:rPr>
          <w:rFonts w:ascii="Times New Roman" w:eastAsia="Times New Roman" w:hAnsi="Times New Roman" w:cs="Times New Roman"/>
          <w:sz w:val="24"/>
          <w:szCs w:val="24"/>
          <w:lang w:eastAsia="ru-RU"/>
        </w:rPr>
        <w:t>п.п</w:t>
      </w:r>
      <w:proofErr w:type="spellEnd"/>
      <w:r w:rsidRPr="00AB6D72">
        <w:rPr>
          <w:rFonts w:ascii="Times New Roman" w:eastAsia="Times New Roman" w:hAnsi="Times New Roman" w:cs="Times New Roman"/>
          <w:sz w:val="24"/>
          <w:szCs w:val="24"/>
          <w:lang w:eastAsia="ru-RU"/>
        </w:rPr>
        <w:t>. 270.1.1 п. 270.1 ст. 270 ПКУ);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земельні частки (паї), які перебувають у власності (</w:t>
      </w:r>
      <w:proofErr w:type="spellStart"/>
      <w:r w:rsidRPr="00AB6D72">
        <w:rPr>
          <w:rFonts w:ascii="Times New Roman" w:eastAsia="Times New Roman" w:hAnsi="Times New Roman" w:cs="Times New Roman"/>
          <w:sz w:val="24"/>
          <w:szCs w:val="24"/>
          <w:lang w:eastAsia="ru-RU"/>
        </w:rPr>
        <w:t>п.п</w:t>
      </w:r>
      <w:proofErr w:type="spellEnd"/>
      <w:r w:rsidRPr="00AB6D72">
        <w:rPr>
          <w:rFonts w:ascii="Times New Roman" w:eastAsia="Times New Roman" w:hAnsi="Times New Roman" w:cs="Times New Roman"/>
          <w:sz w:val="24"/>
          <w:szCs w:val="24"/>
          <w:lang w:eastAsia="ru-RU"/>
        </w:rPr>
        <w:t xml:space="preserve">. 270.1.1.2 </w:t>
      </w:r>
      <w:proofErr w:type="spellStart"/>
      <w:r w:rsidRPr="00AB6D72">
        <w:rPr>
          <w:rFonts w:ascii="Times New Roman" w:eastAsia="Times New Roman" w:hAnsi="Times New Roman" w:cs="Times New Roman"/>
          <w:sz w:val="24"/>
          <w:szCs w:val="24"/>
          <w:lang w:eastAsia="ru-RU"/>
        </w:rPr>
        <w:t>п.п</w:t>
      </w:r>
      <w:proofErr w:type="spellEnd"/>
      <w:r w:rsidRPr="00AB6D72">
        <w:rPr>
          <w:rFonts w:ascii="Times New Roman" w:eastAsia="Times New Roman" w:hAnsi="Times New Roman" w:cs="Times New Roman"/>
          <w:sz w:val="24"/>
          <w:szCs w:val="24"/>
          <w:lang w:eastAsia="ru-RU"/>
        </w:rPr>
        <w:t>. 270.1.1 п. 270.1 ст. 270 ПКУ);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lastRenderedPageBreak/>
        <w:t>земельні ділянки державної та комунальної власності, які перебувають у володінні на праві постійного користування (</w:t>
      </w:r>
      <w:proofErr w:type="spellStart"/>
      <w:r w:rsidRPr="00AB6D72">
        <w:rPr>
          <w:rFonts w:ascii="Times New Roman" w:eastAsia="Times New Roman" w:hAnsi="Times New Roman" w:cs="Times New Roman"/>
          <w:sz w:val="24"/>
          <w:szCs w:val="24"/>
          <w:lang w:eastAsia="ru-RU"/>
        </w:rPr>
        <w:t>п.п</w:t>
      </w:r>
      <w:proofErr w:type="spellEnd"/>
      <w:r w:rsidRPr="00AB6D72">
        <w:rPr>
          <w:rFonts w:ascii="Times New Roman" w:eastAsia="Times New Roman" w:hAnsi="Times New Roman" w:cs="Times New Roman"/>
          <w:sz w:val="24"/>
          <w:szCs w:val="24"/>
          <w:lang w:eastAsia="ru-RU"/>
        </w:rPr>
        <w:t xml:space="preserve">. 270.1.1.3 </w:t>
      </w:r>
      <w:proofErr w:type="spellStart"/>
      <w:r w:rsidRPr="00AB6D72">
        <w:rPr>
          <w:rFonts w:ascii="Times New Roman" w:eastAsia="Times New Roman" w:hAnsi="Times New Roman" w:cs="Times New Roman"/>
          <w:sz w:val="24"/>
          <w:szCs w:val="24"/>
          <w:lang w:eastAsia="ru-RU"/>
        </w:rPr>
        <w:t>п.п</w:t>
      </w:r>
      <w:proofErr w:type="spellEnd"/>
      <w:r w:rsidRPr="00AB6D72">
        <w:rPr>
          <w:rFonts w:ascii="Times New Roman" w:eastAsia="Times New Roman" w:hAnsi="Times New Roman" w:cs="Times New Roman"/>
          <w:sz w:val="24"/>
          <w:szCs w:val="24"/>
          <w:lang w:eastAsia="ru-RU"/>
        </w:rPr>
        <w:t>. 270.1.1 п. 270.1 ст. 270 ПКУ).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Власники земельних ділянок – юридичні та фізичні особи (резиденти і нерезиденти), які відповідно до закону набули права власності на землю в Україні, а також територіальні громади та держава щодо земель комунальної та державної власності відповідно (</w:t>
      </w:r>
      <w:proofErr w:type="spellStart"/>
      <w:r w:rsidRPr="00AB6D72">
        <w:rPr>
          <w:rFonts w:ascii="Times New Roman" w:eastAsia="Times New Roman" w:hAnsi="Times New Roman" w:cs="Times New Roman"/>
          <w:sz w:val="24"/>
          <w:szCs w:val="24"/>
          <w:lang w:eastAsia="ru-RU"/>
        </w:rPr>
        <w:t>п.п</w:t>
      </w:r>
      <w:proofErr w:type="spellEnd"/>
      <w:r w:rsidRPr="00AB6D72">
        <w:rPr>
          <w:rFonts w:ascii="Times New Roman" w:eastAsia="Times New Roman" w:hAnsi="Times New Roman" w:cs="Times New Roman"/>
          <w:sz w:val="24"/>
          <w:szCs w:val="24"/>
          <w:lang w:eastAsia="ru-RU"/>
        </w:rPr>
        <w:t>. 14.1.34 п. 14.1 ст. 14 ПКУ).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 xml:space="preserve">Відповідно до </w:t>
      </w:r>
      <w:proofErr w:type="spellStart"/>
      <w:r w:rsidRPr="00AB6D72">
        <w:rPr>
          <w:rFonts w:ascii="Times New Roman" w:eastAsia="Times New Roman" w:hAnsi="Times New Roman" w:cs="Times New Roman"/>
          <w:sz w:val="24"/>
          <w:szCs w:val="24"/>
          <w:lang w:eastAsia="ru-RU"/>
        </w:rPr>
        <w:t>п.п</w:t>
      </w:r>
      <w:proofErr w:type="spellEnd"/>
      <w:r w:rsidRPr="00AB6D72">
        <w:rPr>
          <w:rFonts w:ascii="Times New Roman" w:eastAsia="Times New Roman" w:hAnsi="Times New Roman" w:cs="Times New Roman"/>
          <w:sz w:val="24"/>
          <w:szCs w:val="24"/>
          <w:lang w:eastAsia="ru-RU"/>
        </w:rPr>
        <w:t>. 14.1.73 п. 14.1 ст. 14 ПКУ землекористувачі – це юридичні та фізичні особи (резиденти і нерезиденти), які користуються земельними ділянками державної та комунальної власності:</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на праві постійного користування;</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на умовах оренди.</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Пунктом 286.1 ст. 286 ПКУ встановлено, що підставою для нарахування земельного податку є:</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а) дані державного земельного кадастру;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б) дані Державного реєстру речових прав на нерухоме майно;</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в) дані державних актів, якими посвідчено право власності або право постійного користування земельною ділянкою (державні акти на землю);</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г) дані сертифікатів на право на земельні частки (паї);</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ґ) рішення органу місцевого самоврядування про виділення земельних ділянок у натурі (на місцевості) власникам земельних часток (паїв);</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д) дані інших правовстановлюючих документів, якими посвідчується право власності або право користування земельною ділянкою, право на земельні частки (паї).</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Юридичні особи самостійно обчислюють суму податкового зобов’язання щодо земельного податку в порядку, визначеному ПКУ.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Відповідно до п. 281.1 ст. 281 ПКУ від сплати земельного податку звільняються особи з інвалідністю першої і другої групи, фізичні особи, які виховують трьох і більше дітей віком до 18 років, пенсіонери (за віком), ветерани війни та особи, на яких поширюється дія Закону України від 22 жовтня 1993 року № 3551-XII «Про статус ветеранів війни, гарантії їх соціального захисту» зі змінами та доповненнями, фізичні особи, визнані законом особами, які постраждали внаслідок Чорнобильської катастрофи. Звільнення від сплати земельного податку для таких категорій фізичних осіб поширюється на земельні ділянки, визначені п. 281.2 ст. 281 ПКУ.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Нарахування фізичним особам сум плати за землю проводиться контролюючими органами (за місцем знаходження земельної ділянки, у тому числі право на яку фізична особа має як власник земельної частки (паю), які надсилають платнику податку у порядку, визначеному ст. 42 ПКУ, до 01 липня поточного року податкове повідомлення-рішення про внесення податку за формою, встановленою у порядку, визначеному ст. 58 ПКУ, разом із детальним розрахунком суми податку, який, зокрема, але не виключно, має містити кадастровий номер та площу земельної ділянки, розмір ставки податку та розмір пільги зі сплати податку (абзац перший п. 286.5 ст. 286 ПКУ).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Враховуючи вищенаведене, якщо земельні ділянки приватизовані громадянами – членами садівничого товариства, які отримали документи, що засвідчують право на земельну ділянку, то такі громадяни, є платниками земельного податку.</w:t>
      </w:r>
    </w:p>
    <w:p w:rsidR="00740BEC" w:rsidRPr="00AB6D72" w:rsidRDefault="00740BEC" w:rsidP="00AB6D72">
      <w:pPr>
        <w:spacing w:after="0" w:line="240" w:lineRule="auto"/>
        <w:ind w:firstLine="567"/>
        <w:jc w:val="both"/>
        <w:rPr>
          <w:rFonts w:ascii="Times New Roman" w:eastAsia="Times New Roman" w:hAnsi="Times New Roman" w:cs="Times New Roman"/>
          <w:sz w:val="24"/>
          <w:szCs w:val="24"/>
          <w:lang w:eastAsia="ru-RU"/>
        </w:rPr>
      </w:pPr>
      <w:r w:rsidRPr="00AB6D72">
        <w:rPr>
          <w:rFonts w:ascii="Times New Roman" w:eastAsia="Times New Roman" w:hAnsi="Times New Roman" w:cs="Times New Roman"/>
          <w:sz w:val="24"/>
          <w:szCs w:val="24"/>
          <w:lang w:eastAsia="ru-RU"/>
        </w:rPr>
        <w:t>При цьому від сплати земельного податку за земельні ділянки для ведення садівництва (не більше 0,12 гектара) звільняються особи, визначені п. 281.1 ст. 281 ПКУ (за умови подання до контролюючого органу заяви довільної форми про застосування пільги).</w:t>
      </w:r>
    </w:p>
    <w:p w:rsidR="005271BB" w:rsidRPr="00AB6D72" w:rsidRDefault="005271BB" w:rsidP="00AB6D72">
      <w:pPr>
        <w:spacing w:after="0" w:line="240" w:lineRule="auto"/>
        <w:ind w:firstLine="567"/>
        <w:jc w:val="both"/>
        <w:rPr>
          <w:rFonts w:ascii="Times New Roman" w:eastAsia="Calibri" w:hAnsi="Times New Roman" w:cs="Times New Roman"/>
          <w:sz w:val="24"/>
          <w:szCs w:val="24"/>
        </w:rPr>
      </w:pPr>
    </w:p>
    <w:p w:rsidR="00FC73BD" w:rsidRPr="00AB6D72" w:rsidRDefault="00FD3154" w:rsidP="00AB6D72">
      <w:pPr>
        <w:ind w:firstLine="567"/>
        <w:jc w:val="both"/>
        <w:rPr>
          <w:rFonts w:ascii="Times New Roman" w:hAnsi="Times New Roman" w:cs="Times New Roman"/>
          <w:color w:val="333333"/>
          <w:sz w:val="28"/>
          <w:szCs w:val="28"/>
          <w:shd w:val="clear" w:color="auto" w:fill="FFFFFF"/>
          <w:lang w:val="ru-RU"/>
        </w:rPr>
      </w:pPr>
      <w:r w:rsidRPr="00AB6D72">
        <w:rPr>
          <w:rFonts w:ascii="Times New Roman" w:hAnsi="Times New Roman" w:cs="Times New Roman"/>
          <w:color w:val="333333"/>
          <w:sz w:val="24"/>
          <w:szCs w:val="24"/>
          <w:shd w:val="clear" w:color="auto" w:fill="FFFFFF"/>
        </w:rPr>
        <w:t>За інформацією загальнодоступного інформаційно-довідкового ресурсу.</w:t>
      </w:r>
    </w:p>
    <w:bookmarkEnd w:id="1"/>
    <w:p w:rsidR="00FC73BD" w:rsidRPr="00AB6D72" w:rsidRDefault="00FC73BD" w:rsidP="005271BB">
      <w:pPr>
        <w:jc w:val="both"/>
        <w:rPr>
          <w:rStyle w:val="z-label"/>
          <w:rFonts w:ascii="Times New Roman" w:hAnsi="Times New Roman" w:cs="Times New Roman"/>
          <w:sz w:val="28"/>
          <w:szCs w:val="28"/>
          <w:lang w:val="ru-RU"/>
        </w:rPr>
      </w:pPr>
    </w:p>
    <w:p w:rsidR="00FC73BD" w:rsidRPr="00FC73BD" w:rsidRDefault="00FC73BD" w:rsidP="00FC73BD">
      <w:pPr>
        <w:spacing w:after="0" w:line="240" w:lineRule="auto"/>
        <w:jc w:val="both"/>
        <w:rPr>
          <w:rFonts w:ascii="Times New Roman" w:eastAsia="Calibri" w:hAnsi="Times New Roman" w:cs="Times New Roman"/>
          <w:sz w:val="20"/>
          <w:szCs w:val="20"/>
        </w:rPr>
      </w:pPr>
      <w:r w:rsidRPr="00FC73BD">
        <w:rPr>
          <w:rFonts w:ascii="Times New Roman" w:eastAsia="Calibri" w:hAnsi="Times New Roman" w:cs="Times New Roman"/>
          <w:sz w:val="20"/>
          <w:szCs w:val="20"/>
        </w:rPr>
        <w:t xml:space="preserve">18002, м. Черкаси, вул. Хрещатик,235                                           </w:t>
      </w:r>
      <w:r w:rsidRPr="00FC73BD">
        <w:rPr>
          <w:rFonts w:ascii="Times New Roman" w:eastAsia="Calibri" w:hAnsi="Times New Roman" w:cs="Times New Roman"/>
          <w:sz w:val="20"/>
          <w:szCs w:val="20"/>
          <w:lang w:val="en-US"/>
        </w:rPr>
        <w:t>e</w:t>
      </w:r>
      <w:r w:rsidRPr="00FC73BD">
        <w:rPr>
          <w:rFonts w:ascii="Times New Roman" w:eastAsia="Calibri" w:hAnsi="Times New Roman" w:cs="Times New Roman"/>
          <w:sz w:val="20"/>
          <w:szCs w:val="20"/>
        </w:rPr>
        <w:t>-</w:t>
      </w:r>
      <w:r w:rsidRPr="00FC73BD">
        <w:rPr>
          <w:rFonts w:ascii="Times New Roman" w:eastAsia="Calibri" w:hAnsi="Times New Roman" w:cs="Times New Roman"/>
          <w:sz w:val="20"/>
          <w:szCs w:val="20"/>
          <w:lang w:val="en-US"/>
        </w:rPr>
        <w:t>mail</w:t>
      </w:r>
      <w:r w:rsidRPr="00FC73BD">
        <w:rPr>
          <w:rFonts w:ascii="Times New Roman" w:eastAsia="Calibri" w:hAnsi="Times New Roman" w:cs="Times New Roman"/>
          <w:sz w:val="20"/>
          <w:szCs w:val="20"/>
        </w:rPr>
        <w:t xml:space="preserve">: </w:t>
      </w:r>
      <w:hyperlink r:id="rId7" w:history="1">
        <w:r w:rsidRPr="00FC73BD">
          <w:rPr>
            <w:rFonts w:ascii="Times New Roman" w:eastAsia="Calibri" w:hAnsi="Times New Roman" w:cs="Times New Roman"/>
            <w:color w:val="0000FF"/>
            <w:sz w:val="20"/>
            <w:szCs w:val="20"/>
            <w:u w:val="single"/>
            <w:lang w:val="en-US"/>
          </w:rPr>
          <w:t>ck</w:t>
        </w:r>
        <w:r w:rsidRPr="00FC73BD">
          <w:rPr>
            <w:rFonts w:ascii="Times New Roman" w:eastAsia="Calibri" w:hAnsi="Times New Roman" w:cs="Times New Roman"/>
            <w:color w:val="0000FF"/>
            <w:sz w:val="20"/>
            <w:szCs w:val="20"/>
            <w:u w:val="single"/>
          </w:rPr>
          <w:t>.</w:t>
        </w:r>
        <w:r w:rsidRPr="00FC73BD">
          <w:rPr>
            <w:rFonts w:ascii="Times New Roman" w:eastAsia="Calibri" w:hAnsi="Times New Roman" w:cs="Times New Roman"/>
            <w:color w:val="0000FF"/>
            <w:sz w:val="20"/>
            <w:szCs w:val="20"/>
            <w:u w:val="single"/>
            <w:lang w:val="en-US"/>
          </w:rPr>
          <w:t>zmi</w:t>
        </w:r>
        <w:r w:rsidRPr="00FC73BD">
          <w:rPr>
            <w:rFonts w:ascii="Times New Roman" w:eastAsia="Calibri" w:hAnsi="Times New Roman" w:cs="Times New Roman"/>
            <w:color w:val="0000FF"/>
            <w:sz w:val="20"/>
            <w:szCs w:val="20"/>
            <w:u w:val="single"/>
          </w:rPr>
          <w:t>@</w:t>
        </w:r>
        <w:r w:rsidRPr="00FC73BD">
          <w:rPr>
            <w:rFonts w:ascii="Times New Roman" w:eastAsia="Calibri" w:hAnsi="Times New Roman" w:cs="Times New Roman"/>
            <w:color w:val="0000FF"/>
            <w:sz w:val="20"/>
            <w:szCs w:val="20"/>
            <w:u w:val="single"/>
            <w:lang w:val="en-US"/>
          </w:rPr>
          <w:t>tax</w:t>
        </w:r>
        <w:r w:rsidRPr="00FC73BD">
          <w:rPr>
            <w:rFonts w:ascii="Times New Roman" w:eastAsia="Calibri" w:hAnsi="Times New Roman" w:cs="Times New Roman"/>
            <w:color w:val="0000FF"/>
            <w:sz w:val="20"/>
            <w:szCs w:val="20"/>
            <w:u w:val="single"/>
          </w:rPr>
          <w:t>.</w:t>
        </w:r>
        <w:r w:rsidRPr="00FC73BD">
          <w:rPr>
            <w:rFonts w:ascii="Times New Roman" w:eastAsia="Calibri" w:hAnsi="Times New Roman" w:cs="Times New Roman"/>
            <w:color w:val="0000FF"/>
            <w:sz w:val="20"/>
            <w:szCs w:val="20"/>
            <w:u w:val="single"/>
            <w:lang w:val="en-US"/>
          </w:rPr>
          <w:t>gov</w:t>
        </w:r>
        <w:r w:rsidRPr="00FC73BD">
          <w:rPr>
            <w:rFonts w:ascii="Times New Roman" w:eastAsia="Calibri" w:hAnsi="Times New Roman" w:cs="Times New Roman"/>
            <w:color w:val="0000FF"/>
            <w:sz w:val="20"/>
            <w:szCs w:val="20"/>
            <w:u w:val="single"/>
          </w:rPr>
          <w:t>.</w:t>
        </w:r>
        <w:r w:rsidRPr="00FC73BD">
          <w:rPr>
            <w:rFonts w:ascii="Times New Roman" w:eastAsia="Calibri" w:hAnsi="Times New Roman" w:cs="Times New Roman"/>
            <w:color w:val="0000FF"/>
            <w:sz w:val="20"/>
            <w:szCs w:val="20"/>
            <w:u w:val="single"/>
            <w:lang w:val="en-US"/>
          </w:rPr>
          <w:t>ua</w:t>
        </w:r>
      </w:hyperlink>
    </w:p>
    <w:p w:rsidR="00FC73BD" w:rsidRPr="00FC73BD" w:rsidRDefault="00FC73BD" w:rsidP="00FC73BD">
      <w:pPr>
        <w:spacing w:after="0" w:line="240" w:lineRule="auto"/>
        <w:jc w:val="both"/>
        <w:rPr>
          <w:rFonts w:ascii="Times New Roman" w:eastAsia="Times New Roman" w:hAnsi="Times New Roman" w:cs="Times New Roman"/>
          <w:sz w:val="24"/>
          <w:szCs w:val="24"/>
          <w:lang w:val="ru-RU" w:eastAsia="ru-RU"/>
        </w:rPr>
      </w:pPr>
      <w:r w:rsidRPr="00FC73BD">
        <w:rPr>
          <w:rFonts w:ascii="Times New Roman" w:eastAsia="Calibri" w:hAnsi="Times New Roman" w:cs="Times New Roman"/>
          <w:sz w:val="20"/>
          <w:szCs w:val="20"/>
          <w:lang w:val="ru-RU"/>
        </w:rPr>
        <w:t xml:space="preserve">тел.(0472) 33-91-34                                                                           </w:t>
      </w:r>
      <w:hyperlink r:id="rId8" w:history="1">
        <w:r w:rsidRPr="00FC73BD">
          <w:rPr>
            <w:rFonts w:ascii="Times New Roman" w:eastAsia="Calibri" w:hAnsi="Times New Roman" w:cs="Times New Roman"/>
            <w:color w:val="0000FF"/>
            <w:sz w:val="20"/>
            <w:szCs w:val="20"/>
            <w:u w:val="single"/>
            <w:lang w:val="ru-RU"/>
          </w:rPr>
          <w:t>https://ck.tax.gov.ua/</w:t>
        </w:r>
      </w:hyperlink>
    </w:p>
    <w:p w:rsidR="00C308C1" w:rsidRPr="00FC73BD" w:rsidRDefault="00C308C1" w:rsidP="00115F48">
      <w:pPr>
        <w:tabs>
          <w:tab w:val="num" w:pos="567"/>
        </w:tabs>
        <w:spacing w:after="0" w:line="240" w:lineRule="auto"/>
        <w:jc w:val="both"/>
        <w:rPr>
          <w:rFonts w:ascii="Times New Roman" w:hAnsi="Times New Roman" w:cs="Times New Roman"/>
          <w:sz w:val="28"/>
          <w:szCs w:val="28"/>
          <w:lang w:val="ru-RU"/>
        </w:rPr>
      </w:pPr>
    </w:p>
    <w:sectPr w:rsidR="00C308C1" w:rsidRPr="00FC73B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4524"/>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1">
    <w:nsid w:val="111326A8"/>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CB4"/>
    <w:rsid w:val="000101F6"/>
    <w:rsid w:val="00046911"/>
    <w:rsid w:val="0011525A"/>
    <w:rsid w:val="00115F48"/>
    <w:rsid w:val="001771DE"/>
    <w:rsid w:val="001A6E97"/>
    <w:rsid w:val="0020709D"/>
    <w:rsid w:val="002F23AC"/>
    <w:rsid w:val="00375271"/>
    <w:rsid w:val="00386D19"/>
    <w:rsid w:val="003B76FE"/>
    <w:rsid w:val="00474290"/>
    <w:rsid w:val="004C7B21"/>
    <w:rsid w:val="005271BB"/>
    <w:rsid w:val="006616E6"/>
    <w:rsid w:val="006D3EC1"/>
    <w:rsid w:val="0071318A"/>
    <w:rsid w:val="007168E0"/>
    <w:rsid w:val="00740BEC"/>
    <w:rsid w:val="00745485"/>
    <w:rsid w:val="00751911"/>
    <w:rsid w:val="00761047"/>
    <w:rsid w:val="00771293"/>
    <w:rsid w:val="00774345"/>
    <w:rsid w:val="00827BA2"/>
    <w:rsid w:val="0083662B"/>
    <w:rsid w:val="00845F71"/>
    <w:rsid w:val="008C17D8"/>
    <w:rsid w:val="008D56AD"/>
    <w:rsid w:val="00904471"/>
    <w:rsid w:val="00955D12"/>
    <w:rsid w:val="00984730"/>
    <w:rsid w:val="009B2108"/>
    <w:rsid w:val="00A430F8"/>
    <w:rsid w:val="00AB2CB4"/>
    <w:rsid w:val="00AB6D72"/>
    <w:rsid w:val="00B26B21"/>
    <w:rsid w:val="00B3509A"/>
    <w:rsid w:val="00B45B98"/>
    <w:rsid w:val="00B71448"/>
    <w:rsid w:val="00B77E76"/>
    <w:rsid w:val="00BE6AD6"/>
    <w:rsid w:val="00C007CA"/>
    <w:rsid w:val="00C24478"/>
    <w:rsid w:val="00C308C1"/>
    <w:rsid w:val="00D10D65"/>
    <w:rsid w:val="00D16E74"/>
    <w:rsid w:val="00D27CE0"/>
    <w:rsid w:val="00D34084"/>
    <w:rsid w:val="00D3693C"/>
    <w:rsid w:val="00D510A7"/>
    <w:rsid w:val="00D841F9"/>
    <w:rsid w:val="00D92C16"/>
    <w:rsid w:val="00DA57A5"/>
    <w:rsid w:val="00DE77BB"/>
    <w:rsid w:val="00DF2E5C"/>
    <w:rsid w:val="00E208DE"/>
    <w:rsid w:val="00E45F43"/>
    <w:rsid w:val="00E8091D"/>
    <w:rsid w:val="00E815C8"/>
    <w:rsid w:val="00E87C73"/>
    <w:rsid w:val="00FC73BD"/>
    <w:rsid w:val="00FD3154"/>
    <w:rsid w:val="00FF60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84961">
      <w:bodyDiv w:val="1"/>
      <w:marLeft w:val="0"/>
      <w:marRight w:val="0"/>
      <w:marTop w:val="0"/>
      <w:marBottom w:val="0"/>
      <w:divBdr>
        <w:top w:val="none" w:sz="0" w:space="0" w:color="auto"/>
        <w:left w:val="none" w:sz="0" w:space="0" w:color="auto"/>
        <w:bottom w:val="none" w:sz="0" w:space="0" w:color="auto"/>
        <w:right w:val="none" w:sz="0" w:space="0" w:color="auto"/>
      </w:divBdr>
    </w:div>
    <w:div w:id="62993980">
      <w:bodyDiv w:val="1"/>
      <w:marLeft w:val="0"/>
      <w:marRight w:val="0"/>
      <w:marTop w:val="0"/>
      <w:marBottom w:val="0"/>
      <w:divBdr>
        <w:top w:val="none" w:sz="0" w:space="0" w:color="auto"/>
        <w:left w:val="none" w:sz="0" w:space="0" w:color="auto"/>
        <w:bottom w:val="none" w:sz="0" w:space="0" w:color="auto"/>
        <w:right w:val="none" w:sz="0" w:space="0" w:color="auto"/>
      </w:divBdr>
    </w:div>
    <w:div w:id="647200430">
      <w:bodyDiv w:val="1"/>
      <w:marLeft w:val="0"/>
      <w:marRight w:val="0"/>
      <w:marTop w:val="0"/>
      <w:marBottom w:val="0"/>
      <w:divBdr>
        <w:top w:val="none" w:sz="0" w:space="0" w:color="auto"/>
        <w:left w:val="none" w:sz="0" w:space="0" w:color="auto"/>
        <w:bottom w:val="none" w:sz="0" w:space="0" w:color="auto"/>
        <w:right w:val="none" w:sz="0" w:space="0" w:color="auto"/>
      </w:divBdr>
    </w:div>
    <w:div w:id="997657014">
      <w:bodyDiv w:val="1"/>
      <w:marLeft w:val="0"/>
      <w:marRight w:val="0"/>
      <w:marTop w:val="0"/>
      <w:marBottom w:val="0"/>
      <w:divBdr>
        <w:top w:val="none" w:sz="0" w:space="0" w:color="auto"/>
        <w:left w:val="none" w:sz="0" w:space="0" w:color="auto"/>
        <w:bottom w:val="none" w:sz="0" w:space="0" w:color="auto"/>
        <w:right w:val="none" w:sz="0" w:space="0" w:color="auto"/>
      </w:divBdr>
    </w:div>
    <w:div w:id="1273367841">
      <w:bodyDiv w:val="1"/>
      <w:marLeft w:val="0"/>
      <w:marRight w:val="0"/>
      <w:marTop w:val="0"/>
      <w:marBottom w:val="0"/>
      <w:divBdr>
        <w:top w:val="none" w:sz="0" w:space="0" w:color="auto"/>
        <w:left w:val="none" w:sz="0" w:space="0" w:color="auto"/>
        <w:bottom w:val="none" w:sz="0" w:space="0" w:color="auto"/>
        <w:right w:val="none" w:sz="0" w:space="0" w:color="auto"/>
      </w:divBdr>
      <w:divsChild>
        <w:div w:id="741683343">
          <w:marLeft w:val="0"/>
          <w:marRight w:val="0"/>
          <w:marTop w:val="0"/>
          <w:marBottom w:val="0"/>
          <w:divBdr>
            <w:top w:val="none" w:sz="0" w:space="0" w:color="auto"/>
            <w:left w:val="none" w:sz="0" w:space="0" w:color="auto"/>
            <w:bottom w:val="none" w:sz="0" w:space="0" w:color="auto"/>
            <w:right w:val="none" w:sz="0" w:space="0" w:color="auto"/>
          </w:divBdr>
        </w:div>
      </w:divsChild>
    </w:div>
    <w:div w:id="1451708965">
      <w:bodyDiv w:val="1"/>
      <w:marLeft w:val="0"/>
      <w:marRight w:val="0"/>
      <w:marTop w:val="0"/>
      <w:marBottom w:val="0"/>
      <w:divBdr>
        <w:top w:val="none" w:sz="0" w:space="0" w:color="auto"/>
        <w:left w:val="none" w:sz="0" w:space="0" w:color="auto"/>
        <w:bottom w:val="none" w:sz="0" w:space="0" w:color="auto"/>
        <w:right w:val="none" w:sz="0" w:space="0" w:color="auto"/>
      </w:divBdr>
    </w:div>
    <w:div w:id="155349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2</Pages>
  <Words>4465</Words>
  <Characters>2546</Characters>
  <Application>Microsoft Office Word</Application>
  <DocSecurity>0</DocSecurity>
  <Lines>21</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74</cp:revision>
  <cp:lastPrinted>2022-09-21T06:08:00Z</cp:lastPrinted>
  <dcterms:created xsi:type="dcterms:W3CDTF">2021-09-06T11:50:00Z</dcterms:created>
  <dcterms:modified xsi:type="dcterms:W3CDTF">2022-09-27T05:49:00Z</dcterms:modified>
</cp:coreProperties>
</file>